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8EC" w:rsidRDefault="003D38EC" w:rsidP="003D38EC">
      <w:pPr>
        <w:jc w:val="center"/>
        <w:rPr>
          <w:b/>
          <w:sz w:val="22"/>
          <w:szCs w:val="22"/>
        </w:rPr>
      </w:pPr>
      <w:bookmarkStart w:id="0" w:name="_GoBack"/>
      <w:bookmarkEnd w:id="0"/>
    </w:p>
    <w:p w:rsidR="003D38EC" w:rsidRDefault="003D38EC" w:rsidP="003D38EC">
      <w:pPr>
        <w:jc w:val="center"/>
        <w:rPr>
          <w:b/>
          <w:sz w:val="22"/>
          <w:szCs w:val="22"/>
        </w:rPr>
      </w:pPr>
    </w:p>
    <w:p w:rsidR="003D38EC" w:rsidRDefault="003D38EC" w:rsidP="003D38EC">
      <w:pPr>
        <w:jc w:val="center"/>
        <w:rPr>
          <w:b/>
          <w:caps/>
          <w:color w:val="000000"/>
          <w:sz w:val="22"/>
          <w:szCs w:val="22"/>
        </w:rPr>
      </w:pPr>
      <w:r>
        <w:rPr>
          <w:b/>
          <w:caps/>
          <w:sz w:val="22"/>
          <w:szCs w:val="22"/>
        </w:rPr>
        <w:t>Šiaulių</w:t>
      </w:r>
      <w:r w:rsidR="00380FC6">
        <w:rPr>
          <w:b/>
          <w:caps/>
          <w:sz w:val="22"/>
          <w:szCs w:val="22"/>
        </w:rPr>
        <w:t xml:space="preserve"> </w:t>
      </w:r>
      <w:r>
        <w:rPr>
          <w:b/>
          <w:caps/>
          <w:sz w:val="22"/>
          <w:szCs w:val="22"/>
        </w:rPr>
        <w:t>apskrities</w:t>
      </w:r>
      <w:r>
        <w:rPr>
          <w:b/>
          <w:sz w:val="22"/>
          <w:szCs w:val="22"/>
        </w:rPr>
        <w:t xml:space="preserve"> </w:t>
      </w:r>
      <w:r>
        <w:rPr>
          <w:b/>
          <w:caps/>
          <w:sz w:val="22"/>
          <w:szCs w:val="22"/>
        </w:rPr>
        <w:t xml:space="preserve">antimikrobinio atsparumo valdymo </w:t>
      </w:r>
      <w:r>
        <w:rPr>
          <w:b/>
          <w:caps/>
          <w:color w:val="000000"/>
          <w:sz w:val="22"/>
          <w:szCs w:val="22"/>
        </w:rPr>
        <w:t>grupės 2023 m. veiklos plano priemonių įgyvendinimo ataskaita</w:t>
      </w:r>
    </w:p>
    <w:p w:rsidR="003D38EC" w:rsidRDefault="003D38EC" w:rsidP="003D38EC">
      <w:pPr>
        <w:rPr>
          <w:sz w:val="14"/>
          <w:szCs w:val="14"/>
        </w:rPr>
      </w:pPr>
    </w:p>
    <w:p w:rsidR="003D38EC" w:rsidRDefault="003D38EC" w:rsidP="003D38EC">
      <w:pPr>
        <w:jc w:val="center"/>
        <w:rPr>
          <w:b/>
          <w:caps/>
          <w:color w:val="000000"/>
          <w:sz w:val="22"/>
          <w:szCs w:val="22"/>
        </w:rPr>
      </w:pPr>
      <w:r>
        <w:rPr>
          <w:color w:val="000000"/>
          <w:sz w:val="22"/>
          <w:szCs w:val="22"/>
        </w:rPr>
        <w:t>2024-02-</w:t>
      </w:r>
      <w:r w:rsidR="00380FC6">
        <w:rPr>
          <w:color w:val="000000"/>
          <w:sz w:val="22"/>
          <w:szCs w:val="22"/>
        </w:rPr>
        <w:t>12</w:t>
      </w:r>
    </w:p>
    <w:p w:rsidR="003D38EC" w:rsidRDefault="003D38EC" w:rsidP="003D38EC">
      <w:pPr>
        <w:jc w:val="center"/>
        <w:rPr>
          <w:color w:val="000000"/>
          <w:sz w:val="22"/>
          <w:szCs w:val="22"/>
        </w:rPr>
      </w:pPr>
      <w:r>
        <w:rPr>
          <w:color w:val="000000"/>
          <w:sz w:val="22"/>
          <w:szCs w:val="22"/>
        </w:rPr>
        <w:t>(data)</w:t>
      </w:r>
    </w:p>
    <w:p w:rsidR="003D38EC" w:rsidRDefault="003D38EC" w:rsidP="003D38EC">
      <w:pPr>
        <w:jc w:val="center"/>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4"/>
        <w:gridCol w:w="3133"/>
        <w:gridCol w:w="7890"/>
      </w:tblGrid>
      <w:tr w:rsidR="003D38EC" w:rsidTr="00B169AA">
        <w:trPr>
          <w:trHeight w:val="633"/>
        </w:trPr>
        <w:tc>
          <w:tcPr>
            <w:tcW w:w="195" w:type="pct"/>
            <w:vAlign w:val="center"/>
          </w:tcPr>
          <w:p w:rsidR="003D38EC" w:rsidRDefault="003D38EC" w:rsidP="00B169AA">
            <w:pPr>
              <w:jc w:val="center"/>
              <w:rPr>
                <w:rFonts w:eastAsia="Calibri"/>
                <w:sz w:val="22"/>
                <w:szCs w:val="22"/>
              </w:rPr>
            </w:pPr>
            <w:r>
              <w:rPr>
                <w:rFonts w:eastAsia="Calibri"/>
                <w:sz w:val="22"/>
                <w:szCs w:val="22"/>
              </w:rPr>
              <w:t>Eil. Nr.</w:t>
            </w:r>
          </w:p>
        </w:tc>
        <w:tc>
          <w:tcPr>
            <w:tcW w:w="859" w:type="pct"/>
            <w:vAlign w:val="center"/>
          </w:tcPr>
          <w:p w:rsidR="003D38EC" w:rsidRDefault="003D38EC" w:rsidP="00B169AA">
            <w:pPr>
              <w:jc w:val="center"/>
              <w:rPr>
                <w:b/>
                <w:sz w:val="22"/>
                <w:szCs w:val="22"/>
              </w:rPr>
            </w:pPr>
            <w:r>
              <w:rPr>
                <w:b/>
                <w:sz w:val="22"/>
                <w:szCs w:val="22"/>
              </w:rPr>
              <w:t>Priemonės pavadinimas</w:t>
            </w:r>
          </w:p>
        </w:tc>
        <w:tc>
          <w:tcPr>
            <w:tcW w:w="1123" w:type="pct"/>
            <w:vAlign w:val="center"/>
          </w:tcPr>
          <w:p w:rsidR="003D38EC" w:rsidRDefault="003D38EC" w:rsidP="00B169AA">
            <w:pPr>
              <w:jc w:val="center"/>
              <w:rPr>
                <w:b/>
                <w:sz w:val="22"/>
                <w:szCs w:val="22"/>
              </w:rPr>
            </w:pPr>
            <w:r>
              <w:rPr>
                <w:b/>
                <w:sz w:val="22"/>
                <w:szCs w:val="22"/>
              </w:rPr>
              <w:t>Data</w:t>
            </w:r>
          </w:p>
        </w:tc>
        <w:tc>
          <w:tcPr>
            <w:tcW w:w="2823" w:type="pct"/>
          </w:tcPr>
          <w:p w:rsidR="003D38EC" w:rsidRDefault="003D38EC" w:rsidP="00B169AA">
            <w:pPr>
              <w:rPr>
                <w:sz w:val="14"/>
                <w:szCs w:val="14"/>
              </w:rPr>
            </w:pPr>
          </w:p>
          <w:p w:rsidR="003D38EC" w:rsidRDefault="003D38EC" w:rsidP="00B169AA">
            <w:pPr>
              <w:rPr>
                <w:b/>
                <w:sz w:val="22"/>
                <w:szCs w:val="22"/>
              </w:rPr>
            </w:pPr>
            <w:r>
              <w:rPr>
                <w:b/>
                <w:sz w:val="22"/>
                <w:szCs w:val="22"/>
              </w:rPr>
              <w:t xml:space="preserve">Kita informacija apie priemonės įvykdymą </w:t>
            </w:r>
            <w:r>
              <w:rPr>
                <w:bCs/>
                <w:i/>
                <w:iCs/>
                <w:sz w:val="22"/>
                <w:szCs w:val="22"/>
              </w:rPr>
              <w:t>(vieta, dalyvių skaičius, tikslinė grupė ir kt.)</w:t>
            </w:r>
          </w:p>
        </w:tc>
      </w:tr>
      <w:tr w:rsidR="003D38EC" w:rsidTr="00B169AA">
        <w:trPr>
          <w:trHeight w:hRule="exact" w:val="442"/>
        </w:trPr>
        <w:tc>
          <w:tcPr>
            <w:tcW w:w="5000" w:type="pct"/>
            <w:gridSpan w:val="4"/>
            <w:shd w:val="clear" w:color="auto" w:fill="E7E6E6" w:themeFill="background2"/>
          </w:tcPr>
          <w:p w:rsidR="003D38EC" w:rsidRDefault="003D38EC" w:rsidP="00B169AA">
            <w:pPr>
              <w:rPr>
                <w:rFonts w:eastAsia="Calibri"/>
                <w:b/>
                <w:bCs/>
                <w:sz w:val="22"/>
                <w:szCs w:val="22"/>
              </w:rPr>
            </w:pPr>
            <w:r>
              <w:rPr>
                <w:rFonts w:eastAsia="Calibri"/>
                <w:b/>
                <w:bCs/>
                <w:sz w:val="22"/>
                <w:szCs w:val="22"/>
              </w:rPr>
              <w:t>1. Grupės posėdžiai</w:t>
            </w:r>
          </w:p>
        </w:tc>
      </w:tr>
      <w:tr w:rsidR="003D38EC" w:rsidRPr="006048EB" w:rsidTr="00B169AA">
        <w:trPr>
          <w:trHeight w:val="284"/>
        </w:trPr>
        <w:tc>
          <w:tcPr>
            <w:tcW w:w="195" w:type="pct"/>
          </w:tcPr>
          <w:p w:rsidR="003D38EC" w:rsidRPr="006048EB" w:rsidRDefault="003D38EC" w:rsidP="00B169AA">
            <w:pPr>
              <w:rPr>
                <w:rFonts w:eastAsia="Calibri"/>
                <w:szCs w:val="24"/>
              </w:rPr>
            </w:pPr>
            <w:r w:rsidRPr="006048EB">
              <w:rPr>
                <w:rFonts w:eastAsia="Calibri"/>
                <w:szCs w:val="24"/>
              </w:rPr>
              <w:t>1.1.</w:t>
            </w:r>
          </w:p>
        </w:tc>
        <w:tc>
          <w:tcPr>
            <w:tcW w:w="859" w:type="pct"/>
          </w:tcPr>
          <w:p w:rsidR="003D38EC" w:rsidRPr="006048EB" w:rsidRDefault="003875C0" w:rsidP="00B169AA">
            <w:pPr>
              <w:rPr>
                <w:rFonts w:eastAsia="Calibri"/>
                <w:szCs w:val="24"/>
              </w:rPr>
            </w:pPr>
            <w:r w:rsidRPr="006048EB">
              <w:rPr>
                <w:rFonts w:eastAsia="Calibri"/>
                <w:szCs w:val="24"/>
              </w:rPr>
              <w:t>Grupės posėdis</w:t>
            </w:r>
          </w:p>
        </w:tc>
        <w:tc>
          <w:tcPr>
            <w:tcW w:w="1123" w:type="pct"/>
          </w:tcPr>
          <w:p w:rsidR="003D38EC" w:rsidRPr="006048EB" w:rsidRDefault="00055480" w:rsidP="00B169AA">
            <w:pPr>
              <w:rPr>
                <w:rFonts w:eastAsia="Calibri"/>
                <w:szCs w:val="24"/>
              </w:rPr>
            </w:pPr>
            <w:r w:rsidRPr="006048EB">
              <w:rPr>
                <w:rFonts w:eastAsia="Calibri"/>
                <w:szCs w:val="24"/>
              </w:rPr>
              <w:t>2023-04-19</w:t>
            </w:r>
          </w:p>
        </w:tc>
        <w:tc>
          <w:tcPr>
            <w:tcW w:w="2823" w:type="pct"/>
          </w:tcPr>
          <w:p w:rsidR="003D38EC" w:rsidRPr="006048EB" w:rsidRDefault="00055480" w:rsidP="00B169AA">
            <w:pPr>
              <w:rPr>
                <w:rFonts w:eastAsia="Calibri"/>
                <w:szCs w:val="24"/>
              </w:rPr>
            </w:pPr>
            <w:r w:rsidRPr="006048EB">
              <w:rPr>
                <w:rFonts w:eastAsia="Calibri"/>
                <w:szCs w:val="24"/>
              </w:rPr>
              <w:t>Dalyvavo 8 Grupės nariai. Svarstyta: Grupės veiklos planas 2024 m., nauji teisės aktai</w:t>
            </w:r>
            <w:r w:rsidR="002A5AC7">
              <w:rPr>
                <w:rFonts w:eastAsia="Calibri"/>
                <w:szCs w:val="24"/>
              </w:rPr>
              <w:t>,</w:t>
            </w:r>
            <w:r w:rsidRPr="006048EB">
              <w:rPr>
                <w:rFonts w:eastAsia="Calibri"/>
                <w:szCs w:val="24"/>
              </w:rPr>
              <w:t xml:space="preserve"> kiti klausimai.</w:t>
            </w:r>
          </w:p>
        </w:tc>
      </w:tr>
      <w:tr w:rsidR="003D38EC" w:rsidRPr="006048EB" w:rsidTr="00B169AA">
        <w:trPr>
          <w:trHeight w:val="284"/>
        </w:trPr>
        <w:tc>
          <w:tcPr>
            <w:tcW w:w="195" w:type="pct"/>
          </w:tcPr>
          <w:p w:rsidR="003D38EC" w:rsidRPr="006048EB" w:rsidRDefault="003D38EC" w:rsidP="002A5AC7">
            <w:pPr>
              <w:rPr>
                <w:rFonts w:eastAsia="Calibri"/>
                <w:szCs w:val="24"/>
              </w:rPr>
            </w:pPr>
          </w:p>
        </w:tc>
        <w:tc>
          <w:tcPr>
            <w:tcW w:w="859" w:type="pct"/>
          </w:tcPr>
          <w:p w:rsidR="003D38EC" w:rsidRPr="006048EB" w:rsidRDefault="003D38EC" w:rsidP="00B169AA">
            <w:pPr>
              <w:ind w:left="360"/>
              <w:rPr>
                <w:rFonts w:eastAsia="Calibri"/>
                <w:szCs w:val="24"/>
              </w:rPr>
            </w:pPr>
          </w:p>
        </w:tc>
        <w:tc>
          <w:tcPr>
            <w:tcW w:w="1123" w:type="pct"/>
          </w:tcPr>
          <w:p w:rsidR="003D38EC" w:rsidRPr="006048EB" w:rsidRDefault="003D38EC" w:rsidP="00B169AA">
            <w:pPr>
              <w:rPr>
                <w:rFonts w:eastAsia="Calibri"/>
                <w:szCs w:val="24"/>
              </w:rPr>
            </w:pPr>
          </w:p>
        </w:tc>
        <w:tc>
          <w:tcPr>
            <w:tcW w:w="2823" w:type="pct"/>
          </w:tcPr>
          <w:p w:rsidR="003D38EC" w:rsidRPr="006048EB" w:rsidRDefault="003D38EC" w:rsidP="00B169AA">
            <w:pPr>
              <w:rPr>
                <w:rFonts w:eastAsia="Calibri"/>
                <w:szCs w:val="24"/>
              </w:rPr>
            </w:pPr>
          </w:p>
        </w:tc>
      </w:tr>
      <w:tr w:rsidR="003D38EC" w:rsidRPr="006048EB" w:rsidTr="00B169AA">
        <w:trPr>
          <w:trHeight w:hRule="exact" w:val="442"/>
        </w:trPr>
        <w:tc>
          <w:tcPr>
            <w:tcW w:w="5000" w:type="pct"/>
            <w:gridSpan w:val="4"/>
            <w:shd w:val="clear" w:color="auto" w:fill="E7E6E6" w:themeFill="background2"/>
          </w:tcPr>
          <w:p w:rsidR="003D38EC" w:rsidRPr="006048EB" w:rsidRDefault="003D38EC" w:rsidP="00B169AA">
            <w:pPr>
              <w:rPr>
                <w:rFonts w:eastAsia="Calibri"/>
                <w:b/>
                <w:bCs/>
                <w:szCs w:val="24"/>
              </w:rPr>
            </w:pPr>
            <w:r w:rsidRPr="006048EB">
              <w:rPr>
                <w:rFonts w:eastAsia="Calibri"/>
                <w:b/>
                <w:bCs/>
                <w:szCs w:val="24"/>
              </w:rPr>
              <w:t xml:space="preserve">2. Renginiai </w:t>
            </w:r>
            <w:r w:rsidRPr="006048EB">
              <w:rPr>
                <w:rFonts w:eastAsia="Calibri"/>
                <w:i/>
                <w:iCs/>
                <w:szCs w:val="24"/>
              </w:rPr>
              <w:t>(konferencija, konkursas, seminaras, mokymai ir kt.)</w:t>
            </w:r>
          </w:p>
        </w:tc>
      </w:tr>
      <w:tr w:rsidR="003D38EC" w:rsidRPr="006048EB" w:rsidTr="00B169AA">
        <w:trPr>
          <w:trHeight w:val="284"/>
        </w:trPr>
        <w:tc>
          <w:tcPr>
            <w:tcW w:w="195" w:type="pct"/>
          </w:tcPr>
          <w:p w:rsidR="003D38EC" w:rsidRPr="006048EB" w:rsidRDefault="003D38EC" w:rsidP="00B169AA">
            <w:pPr>
              <w:rPr>
                <w:rFonts w:eastAsia="Calibri"/>
                <w:szCs w:val="24"/>
              </w:rPr>
            </w:pPr>
            <w:r w:rsidRPr="006048EB">
              <w:rPr>
                <w:rFonts w:eastAsia="Calibri"/>
                <w:szCs w:val="24"/>
              </w:rPr>
              <w:t>2.1.</w:t>
            </w:r>
          </w:p>
        </w:tc>
        <w:tc>
          <w:tcPr>
            <w:tcW w:w="859" w:type="pct"/>
          </w:tcPr>
          <w:p w:rsidR="003D38EC" w:rsidRPr="006048EB" w:rsidRDefault="00055480" w:rsidP="00B169AA">
            <w:pPr>
              <w:rPr>
                <w:rFonts w:eastAsia="Calibri"/>
                <w:szCs w:val="24"/>
              </w:rPr>
            </w:pPr>
            <w:r w:rsidRPr="006048EB">
              <w:rPr>
                <w:szCs w:val="24"/>
              </w:rPr>
              <w:t>Nuotolinis seminaras</w:t>
            </w:r>
            <w:r w:rsidR="006048EB">
              <w:rPr>
                <w:szCs w:val="24"/>
              </w:rPr>
              <w:t xml:space="preserve"> </w:t>
            </w:r>
            <w:r w:rsidRPr="006048EB">
              <w:rPr>
                <w:szCs w:val="24"/>
              </w:rPr>
              <w:t>-diskusija „Racionalaus kompensuojamųjų antibiotikų  vartojimo iššūkiai</w:t>
            </w:r>
            <w:r w:rsidR="002A5AC7">
              <w:rPr>
                <w:szCs w:val="24"/>
              </w:rPr>
              <w:t>“</w:t>
            </w:r>
          </w:p>
        </w:tc>
        <w:tc>
          <w:tcPr>
            <w:tcW w:w="1123" w:type="pct"/>
          </w:tcPr>
          <w:p w:rsidR="003D38EC" w:rsidRPr="006048EB" w:rsidRDefault="00055480" w:rsidP="00B169AA">
            <w:pPr>
              <w:rPr>
                <w:rFonts w:eastAsia="Calibri"/>
                <w:szCs w:val="24"/>
              </w:rPr>
            </w:pPr>
            <w:r w:rsidRPr="006048EB">
              <w:rPr>
                <w:szCs w:val="24"/>
              </w:rPr>
              <w:t>2023-12-19</w:t>
            </w:r>
          </w:p>
        </w:tc>
        <w:tc>
          <w:tcPr>
            <w:tcW w:w="2823" w:type="pct"/>
          </w:tcPr>
          <w:p w:rsidR="00055480" w:rsidRPr="006048EB" w:rsidRDefault="006048EB" w:rsidP="0016485A">
            <w:pPr>
              <w:jc w:val="both"/>
              <w:rPr>
                <w:szCs w:val="24"/>
              </w:rPr>
            </w:pPr>
            <w:r w:rsidRPr="006048EB">
              <w:rPr>
                <w:szCs w:val="24"/>
              </w:rPr>
              <w:t xml:space="preserve">Seminaro </w:t>
            </w:r>
            <w:r w:rsidR="00D42DA2" w:rsidRPr="006048EB">
              <w:rPr>
                <w:szCs w:val="24"/>
              </w:rPr>
              <w:t>o</w:t>
            </w:r>
            <w:r w:rsidR="00055480" w:rsidRPr="006048EB">
              <w:rPr>
                <w:szCs w:val="24"/>
              </w:rPr>
              <w:t xml:space="preserve">rganizatoriai Šiaulių TLK, Šiaulių TLK veiklos zonos vaistų komitetas. </w:t>
            </w:r>
            <w:r w:rsidR="0016485A">
              <w:rPr>
                <w:szCs w:val="24"/>
              </w:rPr>
              <w:t>Renginys s</w:t>
            </w:r>
            <w:r w:rsidR="00055480" w:rsidRPr="006048EB">
              <w:rPr>
                <w:szCs w:val="24"/>
              </w:rPr>
              <w:t>kirtas asmens sveikatos priežiūros, farmacijos specialistams, Valstybinės ligonių kasos prie Sveikatos apsaugos ministerijos ir teritorinių ligonių kasų ūkio subjektų priežiūrą vykdantiems specialistams bei Šiaulių ir Telšių  regioninių antimikrobinio atsparumo valdymo grupių nariams. Dalyvavo 89 dalyviai. Pravesti mokymai – diskusija dalyviams apie  racionalaus antibiotikų vartojimo sąlygas bei Nacionalines racionalaus antimikrobinių vaistinių preparatų vartojimo rekomendacijas, antimikrobinio atsparumo valdymo Šiaulių ir Telšių apskrityse aktualijas.  Seminare dalyvavęs VVKT atstovas informavo apie antimikrobinių preparatų tiekimo situaciją.</w:t>
            </w:r>
            <w:r w:rsidR="00E21F9F" w:rsidRPr="006048EB">
              <w:rPr>
                <w:szCs w:val="24"/>
              </w:rPr>
              <w:t xml:space="preserve"> Paruoštas ir per</w:t>
            </w:r>
            <w:r w:rsidR="007A4A6D" w:rsidRPr="006048EB">
              <w:rPr>
                <w:szCs w:val="24"/>
              </w:rPr>
              <w:t>skaitytas pranešimas ,,</w:t>
            </w:r>
            <w:r w:rsidR="00C55465" w:rsidRPr="006048EB">
              <w:rPr>
                <w:szCs w:val="24"/>
              </w:rPr>
              <w:t>Antimikrobinio atsparumo valdymo situacija Šiaulių apskrityje“.</w:t>
            </w:r>
          </w:p>
          <w:p w:rsidR="003D38EC" w:rsidRPr="006048EB" w:rsidRDefault="003D38EC" w:rsidP="00B169AA">
            <w:pPr>
              <w:rPr>
                <w:rFonts w:eastAsia="Calibri"/>
                <w:szCs w:val="24"/>
              </w:rPr>
            </w:pPr>
          </w:p>
        </w:tc>
      </w:tr>
      <w:tr w:rsidR="003D38EC" w:rsidRPr="006048EB" w:rsidTr="00B169AA">
        <w:trPr>
          <w:trHeight w:val="284"/>
        </w:trPr>
        <w:tc>
          <w:tcPr>
            <w:tcW w:w="195" w:type="pct"/>
          </w:tcPr>
          <w:p w:rsidR="003D38EC" w:rsidRPr="006048EB" w:rsidRDefault="00773AC6" w:rsidP="00B169AA">
            <w:pPr>
              <w:jc w:val="center"/>
              <w:rPr>
                <w:rFonts w:eastAsia="Calibri"/>
                <w:szCs w:val="24"/>
              </w:rPr>
            </w:pPr>
            <w:r w:rsidRPr="006048EB">
              <w:rPr>
                <w:rFonts w:eastAsia="Calibri"/>
                <w:szCs w:val="24"/>
              </w:rPr>
              <w:t>2.2</w:t>
            </w:r>
            <w:r w:rsidR="003D38EC" w:rsidRPr="006048EB">
              <w:rPr>
                <w:rFonts w:eastAsia="Calibri"/>
                <w:szCs w:val="24"/>
              </w:rPr>
              <w:t>.</w:t>
            </w:r>
          </w:p>
        </w:tc>
        <w:tc>
          <w:tcPr>
            <w:tcW w:w="859" w:type="pct"/>
          </w:tcPr>
          <w:p w:rsidR="00773AC6" w:rsidRPr="006048EB" w:rsidRDefault="00773AC6" w:rsidP="00773AC6">
            <w:pPr>
              <w:rPr>
                <w:szCs w:val="24"/>
              </w:rPr>
            </w:pPr>
            <w:r w:rsidRPr="006048EB">
              <w:rPr>
                <w:szCs w:val="24"/>
              </w:rPr>
              <w:t>Pasitarimas</w:t>
            </w:r>
            <w:r w:rsidR="006048EB">
              <w:rPr>
                <w:szCs w:val="24"/>
              </w:rPr>
              <w:t xml:space="preserve"> </w:t>
            </w:r>
            <w:r w:rsidRPr="006048EB">
              <w:rPr>
                <w:szCs w:val="24"/>
              </w:rPr>
              <w:t>- vieša konsultacija ,,Antimikrobinių vaistų suvartojimo tendencijos ir problemos“</w:t>
            </w:r>
          </w:p>
          <w:p w:rsidR="003D38EC" w:rsidRPr="006048EB" w:rsidRDefault="003D38EC" w:rsidP="00B169AA">
            <w:pPr>
              <w:rPr>
                <w:rFonts w:eastAsia="Calibri"/>
                <w:szCs w:val="24"/>
              </w:rPr>
            </w:pPr>
          </w:p>
        </w:tc>
        <w:tc>
          <w:tcPr>
            <w:tcW w:w="1123" w:type="pct"/>
          </w:tcPr>
          <w:p w:rsidR="003D38EC" w:rsidRPr="006048EB" w:rsidRDefault="00773AC6" w:rsidP="00B169AA">
            <w:pPr>
              <w:rPr>
                <w:rFonts w:eastAsia="Calibri"/>
                <w:szCs w:val="24"/>
              </w:rPr>
            </w:pPr>
            <w:r w:rsidRPr="006048EB">
              <w:rPr>
                <w:szCs w:val="24"/>
              </w:rPr>
              <w:lastRenderedPageBreak/>
              <w:t>2023-10-19</w:t>
            </w:r>
          </w:p>
        </w:tc>
        <w:tc>
          <w:tcPr>
            <w:tcW w:w="2823" w:type="pct"/>
          </w:tcPr>
          <w:p w:rsidR="00773AC6" w:rsidRPr="006048EB" w:rsidRDefault="00773AC6" w:rsidP="00773AC6">
            <w:pPr>
              <w:rPr>
                <w:szCs w:val="24"/>
              </w:rPr>
            </w:pPr>
            <w:r w:rsidRPr="006048EB">
              <w:rPr>
                <w:szCs w:val="24"/>
              </w:rPr>
              <w:t>Pasitarime su Radviliškio r. ASPĮ vadovais ir atsakingais specialistais paruoštas ir skaitytas pranešimas tema ,,Antimikrobinių vaistų suvartojimo tendencijos ir problemos“</w:t>
            </w:r>
            <w:r w:rsidR="00C57613">
              <w:rPr>
                <w:szCs w:val="24"/>
              </w:rPr>
              <w:t xml:space="preserve"> (</w:t>
            </w:r>
            <w:r w:rsidR="00C1363D" w:rsidRPr="006048EB">
              <w:rPr>
                <w:szCs w:val="24"/>
              </w:rPr>
              <w:t>d</w:t>
            </w:r>
            <w:r w:rsidRPr="006048EB">
              <w:rPr>
                <w:szCs w:val="24"/>
              </w:rPr>
              <w:t xml:space="preserve">alyvių skaičius </w:t>
            </w:r>
            <w:r w:rsidR="00316B2C" w:rsidRPr="006048EB">
              <w:rPr>
                <w:szCs w:val="24"/>
              </w:rPr>
              <w:t>7</w:t>
            </w:r>
            <w:r w:rsidR="00C57613">
              <w:rPr>
                <w:szCs w:val="24"/>
              </w:rPr>
              <w:t>)</w:t>
            </w:r>
            <w:r w:rsidR="00C1363D" w:rsidRPr="006048EB">
              <w:rPr>
                <w:szCs w:val="24"/>
              </w:rPr>
              <w:t>.</w:t>
            </w:r>
          </w:p>
          <w:p w:rsidR="003D38EC" w:rsidRPr="006048EB" w:rsidRDefault="003D38EC" w:rsidP="00B169AA">
            <w:pPr>
              <w:rPr>
                <w:rFonts w:eastAsia="Calibri"/>
                <w:szCs w:val="24"/>
              </w:rPr>
            </w:pPr>
          </w:p>
        </w:tc>
      </w:tr>
      <w:tr w:rsidR="00773AC6" w:rsidRPr="006048EB" w:rsidTr="00B169AA">
        <w:trPr>
          <w:trHeight w:val="284"/>
        </w:trPr>
        <w:tc>
          <w:tcPr>
            <w:tcW w:w="195" w:type="pct"/>
          </w:tcPr>
          <w:p w:rsidR="00773AC6" w:rsidRPr="006048EB" w:rsidRDefault="00773AC6" w:rsidP="00B169AA">
            <w:pPr>
              <w:jc w:val="center"/>
              <w:rPr>
                <w:rFonts w:eastAsia="Calibri"/>
                <w:szCs w:val="24"/>
              </w:rPr>
            </w:pPr>
            <w:r w:rsidRPr="006048EB">
              <w:rPr>
                <w:rFonts w:eastAsia="Calibri"/>
                <w:szCs w:val="24"/>
              </w:rPr>
              <w:t>2.3.</w:t>
            </w:r>
          </w:p>
        </w:tc>
        <w:tc>
          <w:tcPr>
            <w:tcW w:w="859" w:type="pct"/>
          </w:tcPr>
          <w:p w:rsidR="00316B2C" w:rsidRPr="006048EB" w:rsidRDefault="00316B2C" w:rsidP="00316B2C">
            <w:pPr>
              <w:rPr>
                <w:szCs w:val="24"/>
              </w:rPr>
            </w:pPr>
            <w:r w:rsidRPr="006048EB">
              <w:rPr>
                <w:szCs w:val="24"/>
              </w:rPr>
              <w:t>Pasitarimas</w:t>
            </w:r>
            <w:r w:rsidR="006048EB">
              <w:rPr>
                <w:szCs w:val="24"/>
              </w:rPr>
              <w:t xml:space="preserve"> </w:t>
            </w:r>
            <w:r w:rsidRPr="006048EB">
              <w:rPr>
                <w:szCs w:val="24"/>
              </w:rPr>
              <w:t>- vieša konsultacija ,,Antimikrobinių vaistų suvartojimo tendencijos ir problemos“</w:t>
            </w:r>
          </w:p>
          <w:p w:rsidR="00773AC6" w:rsidRPr="006048EB" w:rsidRDefault="00773AC6" w:rsidP="00773AC6">
            <w:pPr>
              <w:rPr>
                <w:szCs w:val="24"/>
              </w:rPr>
            </w:pPr>
          </w:p>
        </w:tc>
        <w:tc>
          <w:tcPr>
            <w:tcW w:w="1123" w:type="pct"/>
          </w:tcPr>
          <w:p w:rsidR="00773AC6" w:rsidRPr="006048EB" w:rsidRDefault="00316B2C" w:rsidP="00B169AA">
            <w:pPr>
              <w:rPr>
                <w:szCs w:val="24"/>
              </w:rPr>
            </w:pPr>
            <w:r w:rsidRPr="006048EB">
              <w:rPr>
                <w:szCs w:val="24"/>
              </w:rPr>
              <w:t>2023-10-25</w:t>
            </w:r>
          </w:p>
        </w:tc>
        <w:tc>
          <w:tcPr>
            <w:tcW w:w="2823" w:type="pct"/>
          </w:tcPr>
          <w:p w:rsidR="00316B2C" w:rsidRPr="006048EB" w:rsidRDefault="00316B2C" w:rsidP="0016485A">
            <w:pPr>
              <w:jc w:val="both"/>
              <w:rPr>
                <w:szCs w:val="24"/>
              </w:rPr>
            </w:pPr>
            <w:r w:rsidRPr="006048EB">
              <w:rPr>
                <w:szCs w:val="24"/>
              </w:rPr>
              <w:t>Pasitarime su Šiaulių miesto ASPĮ vadovais ir atsakingais specialistais paruoštas ir skaitytas pranešimas ,,Antimikrobinių vaistų suvartojimo tendencijos ir problemos“</w:t>
            </w:r>
            <w:r w:rsidR="00C57613">
              <w:rPr>
                <w:szCs w:val="24"/>
              </w:rPr>
              <w:t xml:space="preserve"> (</w:t>
            </w:r>
            <w:r w:rsidRPr="006048EB">
              <w:rPr>
                <w:szCs w:val="24"/>
              </w:rPr>
              <w:t>dalyvių skaičius 11</w:t>
            </w:r>
            <w:r w:rsidR="00C57613">
              <w:rPr>
                <w:szCs w:val="24"/>
              </w:rPr>
              <w:t>)</w:t>
            </w:r>
            <w:r w:rsidRPr="006048EB">
              <w:rPr>
                <w:szCs w:val="24"/>
              </w:rPr>
              <w:t>.</w:t>
            </w:r>
          </w:p>
          <w:p w:rsidR="00773AC6" w:rsidRPr="006048EB" w:rsidRDefault="00773AC6" w:rsidP="00773AC6">
            <w:pPr>
              <w:rPr>
                <w:szCs w:val="24"/>
              </w:rPr>
            </w:pPr>
          </w:p>
        </w:tc>
      </w:tr>
      <w:tr w:rsidR="003D38EC" w:rsidRPr="006048EB" w:rsidTr="00B169AA">
        <w:trPr>
          <w:trHeight w:hRule="exact" w:val="442"/>
        </w:trPr>
        <w:tc>
          <w:tcPr>
            <w:tcW w:w="5000" w:type="pct"/>
            <w:gridSpan w:val="4"/>
            <w:shd w:val="clear" w:color="auto" w:fill="E7E6E6" w:themeFill="background2"/>
          </w:tcPr>
          <w:p w:rsidR="003D38EC" w:rsidRPr="006048EB" w:rsidRDefault="003D38EC" w:rsidP="00B169AA">
            <w:pPr>
              <w:rPr>
                <w:rFonts w:eastAsia="Calibri"/>
                <w:b/>
                <w:bCs/>
                <w:szCs w:val="24"/>
              </w:rPr>
            </w:pPr>
            <w:r w:rsidRPr="006048EB">
              <w:rPr>
                <w:rFonts w:eastAsia="Calibri"/>
                <w:b/>
                <w:bCs/>
                <w:szCs w:val="24"/>
              </w:rPr>
              <w:t xml:space="preserve">3. Duomenų analizės </w:t>
            </w:r>
            <w:r w:rsidRPr="006048EB">
              <w:rPr>
                <w:rFonts w:eastAsia="Calibri"/>
                <w:i/>
                <w:iCs/>
                <w:szCs w:val="24"/>
              </w:rPr>
              <w:t>(ASPĮ reitingavimas ir kt.)</w:t>
            </w:r>
          </w:p>
        </w:tc>
      </w:tr>
      <w:tr w:rsidR="003D38EC" w:rsidRPr="006048EB" w:rsidTr="00B169AA">
        <w:trPr>
          <w:trHeight w:val="284"/>
        </w:trPr>
        <w:tc>
          <w:tcPr>
            <w:tcW w:w="195" w:type="pct"/>
          </w:tcPr>
          <w:p w:rsidR="003D38EC" w:rsidRPr="006048EB" w:rsidRDefault="003D38EC" w:rsidP="00B169AA">
            <w:pPr>
              <w:rPr>
                <w:rFonts w:eastAsia="Calibri"/>
                <w:szCs w:val="24"/>
              </w:rPr>
            </w:pPr>
            <w:r w:rsidRPr="006048EB">
              <w:rPr>
                <w:rFonts w:eastAsia="Calibri"/>
                <w:szCs w:val="24"/>
              </w:rPr>
              <w:t>3.1.</w:t>
            </w:r>
          </w:p>
        </w:tc>
        <w:tc>
          <w:tcPr>
            <w:tcW w:w="859" w:type="pct"/>
          </w:tcPr>
          <w:p w:rsidR="003D38EC" w:rsidRPr="006048EB" w:rsidRDefault="00055480" w:rsidP="00B169AA">
            <w:pPr>
              <w:rPr>
                <w:rFonts w:eastAsia="Calibri"/>
                <w:szCs w:val="24"/>
              </w:rPr>
            </w:pPr>
            <w:r w:rsidRPr="006048EB">
              <w:rPr>
                <w:szCs w:val="24"/>
              </w:rPr>
              <w:t>Atlikta Šiaulių apskrities ambulatorinėse ASPĮ vaikams (0-18 metų) išrašomų kompensuojamų antibiotikų ir greitojo A grupės beta hemolizinio streptokoko antigeno nustatymo testo taikymo 2-7 m. amžiaus vaikams duomenų analizė</w:t>
            </w:r>
            <w:r w:rsidR="00863D62" w:rsidRPr="006048EB">
              <w:rPr>
                <w:szCs w:val="24"/>
              </w:rPr>
              <w:t>.</w:t>
            </w:r>
          </w:p>
        </w:tc>
        <w:tc>
          <w:tcPr>
            <w:tcW w:w="1123" w:type="pct"/>
          </w:tcPr>
          <w:p w:rsidR="003D38EC" w:rsidRPr="006048EB" w:rsidRDefault="009C51A1" w:rsidP="00B169AA">
            <w:pPr>
              <w:rPr>
                <w:rFonts w:eastAsia="Calibri"/>
                <w:szCs w:val="24"/>
              </w:rPr>
            </w:pPr>
            <w:r w:rsidRPr="006048EB">
              <w:rPr>
                <w:rFonts w:eastAsia="Calibri"/>
                <w:szCs w:val="24"/>
              </w:rPr>
              <w:t xml:space="preserve">2023 m. </w:t>
            </w:r>
            <w:r w:rsidR="00382F7D" w:rsidRPr="006048EB">
              <w:rPr>
                <w:rFonts w:eastAsia="Calibri"/>
                <w:szCs w:val="24"/>
              </w:rPr>
              <w:t xml:space="preserve">balandis, </w:t>
            </w:r>
            <w:r w:rsidRPr="006048EB">
              <w:rPr>
                <w:rFonts w:eastAsia="Calibri"/>
                <w:szCs w:val="24"/>
              </w:rPr>
              <w:t>rugsėjis</w:t>
            </w:r>
          </w:p>
        </w:tc>
        <w:tc>
          <w:tcPr>
            <w:tcW w:w="2823" w:type="pct"/>
          </w:tcPr>
          <w:p w:rsidR="003D38EC" w:rsidRPr="006048EB" w:rsidRDefault="00820AAB" w:rsidP="0016485A">
            <w:pPr>
              <w:jc w:val="both"/>
              <w:rPr>
                <w:rFonts w:eastAsia="Calibri"/>
                <w:szCs w:val="24"/>
              </w:rPr>
            </w:pPr>
            <w:r w:rsidRPr="006048EB">
              <w:rPr>
                <w:rFonts w:eastAsia="Calibri"/>
                <w:szCs w:val="24"/>
              </w:rPr>
              <w:t xml:space="preserve">Pagal VLK Šiaulių skyriaus pateiktus  išrašomų kompensuojamų antibiotikų ir greitojo streptokoko antigeno testo nustatymo taikymo 2-7 m. vaikams duomenis, atliktas Šiaulių apskrities </w:t>
            </w:r>
            <w:r w:rsidR="007A4A6D" w:rsidRPr="006048EB">
              <w:rPr>
                <w:rFonts w:eastAsia="Calibri"/>
                <w:szCs w:val="24"/>
              </w:rPr>
              <w:t xml:space="preserve">ambulatorinių </w:t>
            </w:r>
            <w:r w:rsidRPr="006048EB">
              <w:rPr>
                <w:rFonts w:eastAsia="Calibri"/>
                <w:szCs w:val="24"/>
              </w:rPr>
              <w:t xml:space="preserve">ASPĮ reitingavimas. </w:t>
            </w:r>
            <w:r w:rsidR="0016485A">
              <w:rPr>
                <w:rFonts w:eastAsia="Calibri"/>
                <w:szCs w:val="24"/>
              </w:rPr>
              <w:t xml:space="preserve">Duomenys pateikti Higienos institutui. </w:t>
            </w:r>
            <w:r w:rsidRPr="006048EB">
              <w:rPr>
                <w:rFonts w:eastAsia="Calibri"/>
                <w:szCs w:val="24"/>
              </w:rPr>
              <w:t>Šiaulių a. administracinių teritorijų savivaldybėms</w:t>
            </w:r>
            <w:r w:rsidR="00E66FDB" w:rsidRPr="006048EB">
              <w:rPr>
                <w:rFonts w:eastAsia="Calibri"/>
                <w:szCs w:val="24"/>
              </w:rPr>
              <w:t xml:space="preserve"> ir jose esančioms ambulatorinėms ASPĮ </w:t>
            </w:r>
            <w:r w:rsidR="0016485A">
              <w:rPr>
                <w:rFonts w:eastAsia="Calibri"/>
                <w:szCs w:val="24"/>
              </w:rPr>
              <w:t>p</w:t>
            </w:r>
            <w:r w:rsidR="0016485A" w:rsidRPr="006048EB">
              <w:rPr>
                <w:rFonts w:eastAsia="Calibri"/>
                <w:szCs w:val="24"/>
              </w:rPr>
              <w:t xml:space="preserve">aruošta ir išplatinta informacija </w:t>
            </w:r>
            <w:r w:rsidR="00E66FDB" w:rsidRPr="006048EB">
              <w:rPr>
                <w:rFonts w:eastAsia="Calibri"/>
                <w:szCs w:val="24"/>
              </w:rPr>
              <w:t>apie kompensuojamų antibiotikų skyrimo vaikams tendencijas</w:t>
            </w:r>
            <w:r w:rsidR="0016485A">
              <w:rPr>
                <w:rFonts w:eastAsia="Calibri"/>
                <w:szCs w:val="24"/>
              </w:rPr>
              <w:t xml:space="preserve"> ir problemas</w:t>
            </w:r>
            <w:r w:rsidR="00E66FDB" w:rsidRPr="006048EB">
              <w:rPr>
                <w:rFonts w:eastAsia="Calibri"/>
                <w:szCs w:val="24"/>
              </w:rPr>
              <w:t xml:space="preserve"> (7 raštai).</w:t>
            </w:r>
          </w:p>
        </w:tc>
      </w:tr>
      <w:tr w:rsidR="003D38EC" w:rsidRPr="006048EB" w:rsidTr="00B169AA">
        <w:trPr>
          <w:trHeight w:val="284"/>
        </w:trPr>
        <w:tc>
          <w:tcPr>
            <w:tcW w:w="195" w:type="pct"/>
          </w:tcPr>
          <w:p w:rsidR="003D38EC" w:rsidRPr="006048EB" w:rsidRDefault="00055480" w:rsidP="00B169AA">
            <w:pPr>
              <w:jc w:val="center"/>
              <w:rPr>
                <w:rFonts w:eastAsia="Calibri"/>
                <w:szCs w:val="24"/>
              </w:rPr>
            </w:pPr>
            <w:r w:rsidRPr="006048EB">
              <w:rPr>
                <w:rFonts w:eastAsia="Calibri"/>
                <w:szCs w:val="24"/>
              </w:rPr>
              <w:t>3.2.</w:t>
            </w:r>
          </w:p>
        </w:tc>
        <w:tc>
          <w:tcPr>
            <w:tcW w:w="859" w:type="pct"/>
          </w:tcPr>
          <w:p w:rsidR="003D38EC" w:rsidRPr="006048EB" w:rsidRDefault="00055480" w:rsidP="00B169AA">
            <w:pPr>
              <w:rPr>
                <w:rFonts w:eastAsia="Calibri"/>
                <w:szCs w:val="24"/>
              </w:rPr>
            </w:pPr>
            <w:r w:rsidRPr="006048EB">
              <w:rPr>
                <w:color w:val="000000" w:themeColor="text1"/>
                <w:szCs w:val="24"/>
              </w:rPr>
              <w:t>Atlikta 2022 m. Šiaulių apskrities skiepijimo aprėpčių analizė</w:t>
            </w:r>
          </w:p>
        </w:tc>
        <w:tc>
          <w:tcPr>
            <w:tcW w:w="1123" w:type="pct"/>
          </w:tcPr>
          <w:p w:rsidR="003D38EC" w:rsidRPr="006048EB" w:rsidRDefault="00914E19" w:rsidP="00B169AA">
            <w:pPr>
              <w:rPr>
                <w:rFonts w:eastAsia="Calibri"/>
                <w:szCs w:val="24"/>
              </w:rPr>
            </w:pPr>
            <w:r w:rsidRPr="006048EB">
              <w:rPr>
                <w:rFonts w:eastAsia="Calibri"/>
                <w:szCs w:val="24"/>
              </w:rPr>
              <w:t>2023 m.</w:t>
            </w:r>
            <w:r w:rsidR="00E21F9F" w:rsidRPr="006048EB">
              <w:rPr>
                <w:rFonts w:eastAsia="Calibri"/>
                <w:szCs w:val="24"/>
              </w:rPr>
              <w:t xml:space="preserve"> </w:t>
            </w:r>
            <w:r w:rsidR="00E66FDB" w:rsidRPr="006048EB">
              <w:rPr>
                <w:rFonts w:eastAsia="Calibri"/>
                <w:szCs w:val="24"/>
              </w:rPr>
              <w:t>gegužė,</w:t>
            </w:r>
            <w:r w:rsidRPr="006048EB">
              <w:rPr>
                <w:rFonts w:eastAsia="Calibri"/>
                <w:szCs w:val="24"/>
              </w:rPr>
              <w:t xml:space="preserve"> rugsėjis</w:t>
            </w:r>
          </w:p>
        </w:tc>
        <w:tc>
          <w:tcPr>
            <w:tcW w:w="2823" w:type="pct"/>
          </w:tcPr>
          <w:p w:rsidR="003D38EC" w:rsidRPr="006048EB" w:rsidRDefault="00E66FDB" w:rsidP="0016485A">
            <w:pPr>
              <w:jc w:val="both"/>
              <w:rPr>
                <w:rFonts w:eastAsia="Calibri"/>
                <w:szCs w:val="24"/>
              </w:rPr>
            </w:pPr>
            <w:r w:rsidRPr="006048EB">
              <w:rPr>
                <w:rFonts w:eastAsia="Calibri"/>
                <w:szCs w:val="24"/>
              </w:rPr>
              <w:t>Atlikta vaikų profilaktinių skiepijimų 2022 m. aprėpčių analizė</w:t>
            </w:r>
            <w:r w:rsidR="007A4A6D" w:rsidRPr="006048EB">
              <w:rPr>
                <w:rFonts w:eastAsia="Calibri"/>
                <w:szCs w:val="24"/>
              </w:rPr>
              <w:t xml:space="preserve"> ir tendencijos. </w:t>
            </w:r>
            <w:r w:rsidRPr="006048EB">
              <w:rPr>
                <w:rFonts w:eastAsia="Calibri"/>
                <w:szCs w:val="24"/>
              </w:rPr>
              <w:t>Informacija pateikta Šiaulių miesto ir Šiaulių rajono savivaldybėms ir jose esančioms ambulatorinėms ASPĮ (2 raštai)</w:t>
            </w:r>
            <w:r w:rsidR="0016485A">
              <w:rPr>
                <w:rFonts w:eastAsia="Calibri"/>
                <w:szCs w:val="24"/>
              </w:rPr>
              <w:t>.</w:t>
            </w:r>
          </w:p>
        </w:tc>
      </w:tr>
      <w:tr w:rsidR="00A04D93" w:rsidRPr="006048EB" w:rsidTr="00B169AA">
        <w:trPr>
          <w:trHeight w:val="284"/>
        </w:trPr>
        <w:tc>
          <w:tcPr>
            <w:tcW w:w="195" w:type="pct"/>
          </w:tcPr>
          <w:p w:rsidR="00A04D93" w:rsidRPr="006048EB" w:rsidRDefault="00A04D93" w:rsidP="00A04D93">
            <w:pPr>
              <w:jc w:val="center"/>
              <w:rPr>
                <w:rFonts w:eastAsia="Calibri"/>
                <w:szCs w:val="24"/>
              </w:rPr>
            </w:pPr>
            <w:r w:rsidRPr="006048EB">
              <w:rPr>
                <w:rFonts w:eastAsia="Calibri"/>
                <w:szCs w:val="24"/>
              </w:rPr>
              <w:t>3.3.</w:t>
            </w:r>
          </w:p>
        </w:tc>
        <w:tc>
          <w:tcPr>
            <w:tcW w:w="859" w:type="pct"/>
          </w:tcPr>
          <w:p w:rsidR="00A04D93" w:rsidRPr="006048EB" w:rsidRDefault="00A04D93" w:rsidP="00A04D93">
            <w:pPr>
              <w:rPr>
                <w:szCs w:val="24"/>
              </w:rPr>
            </w:pPr>
            <w:r w:rsidRPr="006048EB">
              <w:rPr>
                <w:szCs w:val="24"/>
                <w:lang w:eastAsia="ar-SA"/>
              </w:rPr>
              <w:t xml:space="preserve">Atlikta antimikrobinių preparatų suvartojimo analizė </w:t>
            </w:r>
            <w:r w:rsidR="006048EB">
              <w:rPr>
                <w:szCs w:val="24"/>
                <w:lang w:eastAsia="ar-SA"/>
              </w:rPr>
              <w:t xml:space="preserve">VšĮ </w:t>
            </w:r>
            <w:r w:rsidRPr="006048EB">
              <w:rPr>
                <w:szCs w:val="24"/>
                <w:lang w:eastAsia="ar-SA"/>
              </w:rPr>
              <w:t>Radviliškio ligoninėje</w:t>
            </w:r>
          </w:p>
        </w:tc>
        <w:tc>
          <w:tcPr>
            <w:tcW w:w="1123" w:type="pct"/>
          </w:tcPr>
          <w:p w:rsidR="00A04D93" w:rsidRPr="006048EB" w:rsidRDefault="007A4A6D" w:rsidP="00A04D93">
            <w:pPr>
              <w:rPr>
                <w:rFonts w:eastAsia="Calibri"/>
                <w:szCs w:val="24"/>
              </w:rPr>
            </w:pPr>
            <w:r w:rsidRPr="006048EB">
              <w:rPr>
                <w:rFonts w:eastAsia="Calibri"/>
                <w:szCs w:val="24"/>
              </w:rPr>
              <w:t>2023 m. gegužė</w:t>
            </w:r>
          </w:p>
        </w:tc>
        <w:tc>
          <w:tcPr>
            <w:tcW w:w="2823" w:type="pct"/>
          </w:tcPr>
          <w:p w:rsidR="00A04D93" w:rsidRPr="006048EB" w:rsidRDefault="00A04D93" w:rsidP="0016485A">
            <w:pPr>
              <w:jc w:val="both"/>
              <w:rPr>
                <w:szCs w:val="24"/>
              </w:rPr>
            </w:pPr>
            <w:r w:rsidRPr="006048EB">
              <w:rPr>
                <w:szCs w:val="24"/>
                <w:lang w:eastAsia="ar-SA"/>
              </w:rPr>
              <w:t>Atlikta antimikrobinių preparatų suvartojimo analizė už 2021-22 m. Radviliškio ligoninėje. Paruoštas ir perskaitytas pranešimas</w:t>
            </w:r>
            <w:r w:rsidR="00863D62" w:rsidRPr="006048EB">
              <w:rPr>
                <w:szCs w:val="24"/>
                <w:lang w:eastAsia="ar-SA"/>
              </w:rPr>
              <w:t xml:space="preserve"> </w:t>
            </w:r>
            <w:r w:rsidRPr="006048EB">
              <w:rPr>
                <w:szCs w:val="24"/>
                <w:lang w:eastAsia="ar-SA"/>
              </w:rPr>
              <w:t xml:space="preserve">,,Antibakterinių medžiagų suvartojimas Ligoninėje“. </w:t>
            </w:r>
            <w:r w:rsidRPr="006048EB">
              <w:rPr>
                <w:color w:val="000000" w:themeColor="text1"/>
                <w:szCs w:val="24"/>
              </w:rPr>
              <w:t>Atnaujinta Antibakterinių medžiagų vartojimo tvarkos aprašas. Patvirtintas naudojamų Ligoninėje antibakterinių medžiagų sąrašas. Visa informacija įkelta į Ligoninės vidaus tinklalapį. Pasitarimų metu su informacija supažindintas Ligoninės personalas (36 g</w:t>
            </w:r>
            <w:r w:rsidR="00914E19" w:rsidRPr="006048EB">
              <w:rPr>
                <w:color w:val="000000" w:themeColor="text1"/>
                <w:szCs w:val="24"/>
              </w:rPr>
              <w:t>y</w:t>
            </w:r>
            <w:r w:rsidRPr="006048EB">
              <w:rPr>
                <w:color w:val="000000" w:themeColor="text1"/>
                <w:szCs w:val="24"/>
              </w:rPr>
              <w:t>dytojai ir slaugytojai)</w:t>
            </w:r>
            <w:r w:rsidR="0016485A">
              <w:rPr>
                <w:color w:val="000000" w:themeColor="text1"/>
                <w:szCs w:val="24"/>
              </w:rPr>
              <w:t>.</w:t>
            </w:r>
          </w:p>
        </w:tc>
      </w:tr>
      <w:tr w:rsidR="00A04D93" w:rsidRPr="006048EB" w:rsidTr="00B169AA">
        <w:trPr>
          <w:trHeight w:val="284"/>
        </w:trPr>
        <w:tc>
          <w:tcPr>
            <w:tcW w:w="195" w:type="pct"/>
          </w:tcPr>
          <w:p w:rsidR="00A04D93" w:rsidRPr="006048EB" w:rsidRDefault="00A04D93" w:rsidP="00A04D93">
            <w:pPr>
              <w:jc w:val="center"/>
              <w:rPr>
                <w:rFonts w:eastAsia="Calibri"/>
                <w:szCs w:val="24"/>
              </w:rPr>
            </w:pPr>
            <w:r w:rsidRPr="006048EB">
              <w:rPr>
                <w:rFonts w:eastAsia="Calibri"/>
                <w:szCs w:val="24"/>
              </w:rPr>
              <w:lastRenderedPageBreak/>
              <w:t>3.4.</w:t>
            </w:r>
          </w:p>
        </w:tc>
        <w:tc>
          <w:tcPr>
            <w:tcW w:w="859" w:type="pct"/>
          </w:tcPr>
          <w:p w:rsidR="00A04D93" w:rsidRPr="006048EB" w:rsidRDefault="00A04D93" w:rsidP="00A04D93">
            <w:pPr>
              <w:rPr>
                <w:szCs w:val="24"/>
                <w:lang w:eastAsia="ar-SA"/>
              </w:rPr>
            </w:pPr>
            <w:r w:rsidRPr="006048EB">
              <w:rPr>
                <w:szCs w:val="24"/>
              </w:rPr>
              <w:t>Atliktas vidaus auditas pediatrinėje apylinkėje  dėl antibiotikų paskyrimo kūdikiams ir vaikams iki 7m.</w:t>
            </w:r>
            <w:r w:rsidR="006048EB">
              <w:rPr>
                <w:szCs w:val="24"/>
              </w:rPr>
              <w:t xml:space="preserve"> </w:t>
            </w:r>
            <w:r w:rsidRPr="006048EB">
              <w:rPr>
                <w:szCs w:val="24"/>
              </w:rPr>
              <w:t>amžiaus pagrįstumo.</w:t>
            </w:r>
          </w:p>
        </w:tc>
        <w:tc>
          <w:tcPr>
            <w:tcW w:w="1123" w:type="pct"/>
          </w:tcPr>
          <w:p w:rsidR="00A04D93" w:rsidRPr="006048EB" w:rsidRDefault="00A04D93" w:rsidP="00A04D93">
            <w:pPr>
              <w:rPr>
                <w:rFonts w:eastAsia="Calibri"/>
                <w:szCs w:val="24"/>
              </w:rPr>
            </w:pPr>
            <w:r w:rsidRPr="006048EB">
              <w:rPr>
                <w:rFonts w:eastAsia="Calibri"/>
                <w:szCs w:val="24"/>
              </w:rPr>
              <w:t>2023 m. gruodis</w:t>
            </w:r>
          </w:p>
        </w:tc>
        <w:tc>
          <w:tcPr>
            <w:tcW w:w="2823" w:type="pct"/>
          </w:tcPr>
          <w:p w:rsidR="00A04D93" w:rsidRPr="006048EB" w:rsidRDefault="00A04D93" w:rsidP="0016485A">
            <w:pPr>
              <w:jc w:val="both"/>
              <w:rPr>
                <w:szCs w:val="24"/>
                <w:lang w:eastAsia="ar-SA"/>
              </w:rPr>
            </w:pPr>
            <w:r w:rsidRPr="006048EB">
              <w:rPr>
                <w:szCs w:val="24"/>
              </w:rPr>
              <w:t>Auditą savo pediatrinėje apylinkėje atlikto Šiaulių centro poliklinikos vaikų ligų  gyd</w:t>
            </w:r>
            <w:r w:rsidR="006048EB">
              <w:rPr>
                <w:szCs w:val="24"/>
              </w:rPr>
              <w:t>ytoja</w:t>
            </w:r>
            <w:r w:rsidRPr="006048EB">
              <w:rPr>
                <w:szCs w:val="24"/>
              </w:rPr>
              <w:t xml:space="preserve">  L. </w:t>
            </w:r>
            <w:proofErr w:type="spellStart"/>
            <w:r w:rsidRPr="006048EB">
              <w:rPr>
                <w:szCs w:val="24"/>
              </w:rPr>
              <w:t>Bekerienė</w:t>
            </w:r>
            <w:proofErr w:type="spellEnd"/>
            <w:r w:rsidRPr="006048EB">
              <w:rPr>
                <w:szCs w:val="24"/>
              </w:rPr>
              <w:t xml:space="preserve">. Su atliktais audito </w:t>
            </w:r>
            <w:r w:rsidR="006048EB">
              <w:rPr>
                <w:szCs w:val="24"/>
              </w:rPr>
              <w:t>rezultatais supažindinti įstaigos gydytojai, administracija.</w:t>
            </w:r>
          </w:p>
        </w:tc>
      </w:tr>
      <w:tr w:rsidR="00A04D93" w:rsidRPr="006048EB" w:rsidTr="00B169AA">
        <w:trPr>
          <w:trHeight w:hRule="exact" w:val="442"/>
        </w:trPr>
        <w:tc>
          <w:tcPr>
            <w:tcW w:w="5000" w:type="pct"/>
            <w:gridSpan w:val="4"/>
            <w:shd w:val="clear" w:color="auto" w:fill="E7E6E6" w:themeFill="background2"/>
          </w:tcPr>
          <w:p w:rsidR="00A04D93" w:rsidRPr="006048EB" w:rsidRDefault="00A04D93" w:rsidP="00A04D93">
            <w:pPr>
              <w:rPr>
                <w:rFonts w:eastAsia="Calibri"/>
                <w:b/>
                <w:bCs/>
                <w:szCs w:val="24"/>
              </w:rPr>
            </w:pPr>
            <w:r w:rsidRPr="006048EB">
              <w:rPr>
                <w:rFonts w:eastAsia="Calibri"/>
                <w:b/>
                <w:bCs/>
                <w:szCs w:val="24"/>
              </w:rPr>
              <w:t xml:space="preserve">4. Visuomenės švietimas </w:t>
            </w:r>
            <w:r w:rsidRPr="006048EB">
              <w:rPr>
                <w:rFonts w:eastAsia="Calibri"/>
                <w:i/>
                <w:iCs/>
                <w:szCs w:val="24"/>
              </w:rPr>
              <w:t>(paskaitos, lankstinukai ir kt.)</w:t>
            </w:r>
          </w:p>
        </w:tc>
      </w:tr>
      <w:tr w:rsidR="00A04D93" w:rsidRPr="006048EB" w:rsidTr="00B169AA">
        <w:trPr>
          <w:trHeight w:val="284"/>
        </w:trPr>
        <w:tc>
          <w:tcPr>
            <w:tcW w:w="195" w:type="pct"/>
          </w:tcPr>
          <w:p w:rsidR="00A04D93" w:rsidRPr="006048EB" w:rsidRDefault="00A04D93" w:rsidP="00A04D93">
            <w:pPr>
              <w:rPr>
                <w:rFonts w:eastAsia="Calibri"/>
                <w:szCs w:val="24"/>
              </w:rPr>
            </w:pPr>
            <w:r w:rsidRPr="006048EB">
              <w:rPr>
                <w:rFonts w:eastAsia="Calibri"/>
                <w:szCs w:val="24"/>
              </w:rPr>
              <w:t>4.1.</w:t>
            </w:r>
          </w:p>
        </w:tc>
        <w:tc>
          <w:tcPr>
            <w:tcW w:w="859" w:type="pct"/>
          </w:tcPr>
          <w:p w:rsidR="00A04D93" w:rsidRPr="006048EB" w:rsidRDefault="00A04D93" w:rsidP="00A04D93">
            <w:pPr>
              <w:rPr>
                <w:rFonts w:eastAsia="Calibri"/>
                <w:szCs w:val="24"/>
              </w:rPr>
            </w:pPr>
            <w:r w:rsidRPr="006048EB">
              <w:rPr>
                <w:szCs w:val="24"/>
              </w:rPr>
              <w:t xml:space="preserve">Leidinys </w:t>
            </w:r>
            <w:r w:rsidRPr="006048EB">
              <w:rPr>
                <w:rStyle w:val="Emphasis"/>
                <w:szCs w:val="24"/>
              </w:rPr>
              <w:t>,,Užpuolė virusiukas? Pasveikime be antibiotikų!‘‘</w:t>
            </w:r>
          </w:p>
        </w:tc>
        <w:tc>
          <w:tcPr>
            <w:tcW w:w="1123" w:type="pct"/>
          </w:tcPr>
          <w:p w:rsidR="00A04D93" w:rsidRPr="006048EB" w:rsidRDefault="00773AC6" w:rsidP="00A04D93">
            <w:pPr>
              <w:rPr>
                <w:rFonts w:eastAsia="Calibri"/>
                <w:szCs w:val="24"/>
              </w:rPr>
            </w:pPr>
            <w:r w:rsidRPr="006048EB">
              <w:rPr>
                <w:rFonts w:eastAsia="Calibri"/>
                <w:szCs w:val="24"/>
              </w:rPr>
              <w:t>2023 m. vasaris</w:t>
            </w:r>
          </w:p>
        </w:tc>
        <w:tc>
          <w:tcPr>
            <w:tcW w:w="2823" w:type="pct"/>
          </w:tcPr>
          <w:p w:rsidR="00773AC6" w:rsidRPr="006048EB" w:rsidRDefault="00773AC6" w:rsidP="0016485A">
            <w:pPr>
              <w:pStyle w:val="NormalWeb"/>
              <w:jc w:val="both"/>
              <w:rPr>
                <w:rFonts w:ascii="Times New Roman" w:hAnsi="Times New Roman"/>
                <w:sz w:val="24"/>
                <w:szCs w:val="24"/>
              </w:rPr>
            </w:pPr>
            <w:r w:rsidRPr="006048EB">
              <w:rPr>
                <w:rFonts w:ascii="Times New Roman" w:hAnsi="Times New Roman"/>
                <w:sz w:val="24"/>
                <w:szCs w:val="24"/>
              </w:rPr>
              <w:t xml:space="preserve">Leidinys skirtas ikimokyklinio amžiaus vaikų tėvams. Dalintas per šeimos gydytojus, darželiuose, PUG grupėse. Leidinys puodelio formos </w:t>
            </w:r>
            <w:r w:rsidR="006048EB">
              <w:rPr>
                <w:rFonts w:ascii="Times New Roman" w:hAnsi="Times New Roman"/>
                <w:sz w:val="24"/>
                <w:szCs w:val="24"/>
              </w:rPr>
              <w:t>ir</w:t>
            </w:r>
            <w:r w:rsidRPr="006048EB">
              <w:rPr>
                <w:rFonts w:ascii="Times New Roman" w:hAnsi="Times New Roman"/>
                <w:sz w:val="24"/>
                <w:szCs w:val="24"/>
              </w:rPr>
              <w:t xml:space="preserve"> jo viduje įklijuota vaikiška arbata, tai žinutė tėveliams, kad užpuolus virusui nereikia griebtis antibiotiko! Taip pat jame lentelė, kurioje nurodyti virusinės ir bakterinės infekcijos požymiai. Leidinio galinėje pusėje informuojama apie nemokamą STREP testo </w:t>
            </w:r>
            <w:r w:rsidR="006048EB">
              <w:rPr>
                <w:rFonts w:ascii="Times New Roman" w:hAnsi="Times New Roman"/>
                <w:sz w:val="24"/>
                <w:szCs w:val="24"/>
              </w:rPr>
              <w:t xml:space="preserve">atlikimo </w:t>
            </w:r>
            <w:r w:rsidRPr="006048EB">
              <w:rPr>
                <w:rFonts w:ascii="Times New Roman" w:hAnsi="Times New Roman"/>
                <w:sz w:val="24"/>
                <w:szCs w:val="24"/>
              </w:rPr>
              <w:t>galimybę 2-7 metų amžiaus vaikams esant gerklės skausmui.</w:t>
            </w:r>
            <w:r w:rsidR="006048EB">
              <w:rPr>
                <w:rFonts w:ascii="Times New Roman" w:hAnsi="Times New Roman"/>
                <w:sz w:val="24"/>
                <w:szCs w:val="24"/>
              </w:rPr>
              <w:t xml:space="preserve"> Ž</w:t>
            </w:r>
            <w:r w:rsidRPr="006048EB">
              <w:rPr>
                <w:rFonts w:ascii="Times New Roman" w:hAnsi="Times New Roman"/>
                <w:sz w:val="24"/>
                <w:szCs w:val="24"/>
              </w:rPr>
              <w:t xml:space="preserve">inutė tėvams: užpuolus virusiukui, nepulti vaiko gydyti antibiotikais, o jei kankina sausas kosulys, jį drėkinti šiltomis </w:t>
            </w:r>
            <w:r w:rsidR="006048EB">
              <w:rPr>
                <w:rFonts w:ascii="Times New Roman" w:hAnsi="Times New Roman"/>
                <w:sz w:val="24"/>
                <w:szCs w:val="24"/>
              </w:rPr>
              <w:t>arbatomis</w:t>
            </w:r>
            <w:r w:rsidR="00273497">
              <w:rPr>
                <w:rFonts w:ascii="Times New Roman" w:hAnsi="Times New Roman"/>
                <w:sz w:val="24"/>
                <w:szCs w:val="24"/>
              </w:rPr>
              <w:t>.</w:t>
            </w:r>
            <w:r w:rsidR="006048EB">
              <w:rPr>
                <w:rFonts w:ascii="Times New Roman" w:hAnsi="Times New Roman"/>
                <w:sz w:val="24"/>
                <w:szCs w:val="24"/>
              </w:rPr>
              <w:t xml:space="preserve"> </w:t>
            </w:r>
            <w:r w:rsidR="00C57613">
              <w:rPr>
                <w:rFonts w:ascii="Times New Roman" w:hAnsi="Times New Roman"/>
                <w:sz w:val="24"/>
                <w:szCs w:val="24"/>
              </w:rPr>
              <w:t>(l</w:t>
            </w:r>
            <w:r w:rsidR="006048EB">
              <w:rPr>
                <w:rFonts w:ascii="Times New Roman" w:hAnsi="Times New Roman"/>
                <w:sz w:val="24"/>
                <w:szCs w:val="24"/>
              </w:rPr>
              <w:t>eidinio</w:t>
            </w:r>
            <w:r w:rsidR="00273497">
              <w:rPr>
                <w:rFonts w:ascii="Times New Roman" w:hAnsi="Times New Roman"/>
                <w:sz w:val="24"/>
                <w:szCs w:val="24"/>
              </w:rPr>
              <w:t xml:space="preserve"> skaičius</w:t>
            </w:r>
            <w:r w:rsidR="006048EB">
              <w:rPr>
                <w:rFonts w:ascii="Times New Roman" w:hAnsi="Times New Roman"/>
                <w:sz w:val="24"/>
                <w:szCs w:val="24"/>
              </w:rPr>
              <w:t xml:space="preserve"> </w:t>
            </w:r>
            <w:r w:rsidRPr="006048EB">
              <w:rPr>
                <w:rFonts w:ascii="Times New Roman" w:hAnsi="Times New Roman"/>
                <w:sz w:val="24"/>
                <w:szCs w:val="24"/>
              </w:rPr>
              <w:t>500 vnt</w:t>
            </w:r>
            <w:r w:rsidR="006048EB">
              <w:rPr>
                <w:rFonts w:ascii="Times New Roman" w:hAnsi="Times New Roman"/>
                <w:sz w:val="24"/>
                <w:szCs w:val="24"/>
              </w:rPr>
              <w:t>.</w:t>
            </w:r>
            <w:r w:rsidR="00C57613">
              <w:rPr>
                <w:rFonts w:ascii="Times New Roman" w:hAnsi="Times New Roman"/>
                <w:sz w:val="24"/>
                <w:szCs w:val="24"/>
              </w:rPr>
              <w:t>).</w:t>
            </w:r>
          </w:p>
          <w:p w:rsidR="00A04D93" w:rsidRPr="006048EB" w:rsidRDefault="00A04D93" w:rsidP="00A04D93">
            <w:pPr>
              <w:rPr>
                <w:rFonts w:eastAsia="Calibri"/>
                <w:szCs w:val="24"/>
              </w:rPr>
            </w:pPr>
          </w:p>
        </w:tc>
      </w:tr>
      <w:tr w:rsidR="00A04D93" w:rsidRPr="006048EB" w:rsidTr="00B169AA">
        <w:trPr>
          <w:trHeight w:val="284"/>
        </w:trPr>
        <w:tc>
          <w:tcPr>
            <w:tcW w:w="195" w:type="pct"/>
          </w:tcPr>
          <w:p w:rsidR="00A04D93" w:rsidRPr="006048EB" w:rsidRDefault="00A04D93" w:rsidP="00A04D93">
            <w:pPr>
              <w:jc w:val="center"/>
              <w:rPr>
                <w:rFonts w:eastAsia="Calibri"/>
                <w:szCs w:val="24"/>
              </w:rPr>
            </w:pPr>
            <w:r w:rsidRPr="006048EB">
              <w:rPr>
                <w:rFonts w:eastAsia="Calibri"/>
                <w:szCs w:val="24"/>
              </w:rPr>
              <w:t>...</w:t>
            </w:r>
          </w:p>
        </w:tc>
        <w:tc>
          <w:tcPr>
            <w:tcW w:w="859" w:type="pct"/>
          </w:tcPr>
          <w:p w:rsidR="00A04D93" w:rsidRPr="006048EB" w:rsidRDefault="00A04D93" w:rsidP="00A04D93">
            <w:pPr>
              <w:rPr>
                <w:rFonts w:eastAsia="Calibri"/>
                <w:szCs w:val="24"/>
              </w:rPr>
            </w:pPr>
          </w:p>
        </w:tc>
        <w:tc>
          <w:tcPr>
            <w:tcW w:w="1123" w:type="pct"/>
          </w:tcPr>
          <w:p w:rsidR="00A04D93" w:rsidRPr="006048EB" w:rsidRDefault="00A04D93" w:rsidP="00A04D93">
            <w:pPr>
              <w:rPr>
                <w:rFonts w:eastAsia="Calibri"/>
                <w:szCs w:val="24"/>
              </w:rPr>
            </w:pPr>
          </w:p>
        </w:tc>
        <w:tc>
          <w:tcPr>
            <w:tcW w:w="2823" w:type="pct"/>
          </w:tcPr>
          <w:p w:rsidR="00A04D93" w:rsidRPr="006048EB" w:rsidRDefault="00A04D93" w:rsidP="00A04D93">
            <w:pPr>
              <w:rPr>
                <w:rFonts w:eastAsia="Calibri"/>
                <w:szCs w:val="24"/>
              </w:rPr>
            </w:pPr>
          </w:p>
        </w:tc>
      </w:tr>
      <w:tr w:rsidR="00A04D93" w:rsidRPr="006048EB" w:rsidTr="00B169AA">
        <w:trPr>
          <w:trHeight w:hRule="exact" w:val="442"/>
        </w:trPr>
        <w:tc>
          <w:tcPr>
            <w:tcW w:w="5000" w:type="pct"/>
            <w:gridSpan w:val="4"/>
            <w:shd w:val="clear" w:color="auto" w:fill="E7E6E6" w:themeFill="background2"/>
          </w:tcPr>
          <w:p w:rsidR="00A04D93" w:rsidRPr="006048EB" w:rsidRDefault="00A04D93" w:rsidP="00A04D93">
            <w:pPr>
              <w:rPr>
                <w:rFonts w:eastAsia="Calibri"/>
                <w:b/>
                <w:bCs/>
                <w:szCs w:val="24"/>
              </w:rPr>
            </w:pPr>
            <w:r w:rsidRPr="006048EB">
              <w:rPr>
                <w:rFonts w:eastAsia="Calibri"/>
                <w:b/>
                <w:bCs/>
                <w:szCs w:val="24"/>
              </w:rPr>
              <w:t xml:space="preserve">5. Viešinimas </w:t>
            </w:r>
            <w:r w:rsidRPr="006048EB">
              <w:rPr>
                <w:rFonts w:eastAsia="Calibri"/>
                <w:i/>
                <w:iCs/>
                <w:szCs w:val="24"/>
              </w:rPr>
              <w:t>(</w:t>
            </w:r>
            <w:r w:rsidRPr="006048EB">
              <w:rPr>
                <w:i/>
                <w:iCs/>
                <w:szCs w:val="24"/>
              </w:rPr>
              <w:t>straipsniai, pranešimai spaudai ir kt.)</w:t>
            </w:r>
          </w:p>
        </w:tc>
      </w:tr>
      <w:tr w:rsidR="00A04D93" w:rsidRPr="006048EB" w:rsidTr="00B169AA">
        <w:trPr>
          <w:trHeight w:val="284"/>
        </w:trPr>
        <w:tc>
          <w:tcPr>
            <w:tcW w:w="195" w:type="pct"/>
          </w:tcPr>
          <w:p w:rsidR="00A04D93" w:rsidRPr="006048EB" w:rsidRDefault="00A04D93" w:rsidP="00A04D93">
            <w:pPr>
              <w:rPr>
                <w:rFonts w:eastAsia="Calibri"/>
                <w:szCs w:val="24"/>
              </w:rPr>
            </w:pPr>
            <w:r w:rsidRPr="006048EB">
              <w:rPr>
                <w:rFonts w:eastAsia="Calibri"/>
                <w:szCs w:val="24"/>
              </w:rPr>
              <w:t>5.1.</w:t>
            </w:r>
          </w:p>
        </w:tc>
        <w:tc>
          <w:tcPr>
            <w:tcW w:w="859" w:type="pct"/>
          </w:tcPr>
          <w:p w:rsidR="00A04D93" w:rsidRPr="006048EB" w:rsidRDefault="00A04D93" w:rsidP="00A04D93">
            <w:pPr>
              <w:rPr>
                <w:rFonts w:eastAsia="Calibri"/>
                <w:szCs w:val="24"/>
              </w:rPr>
            </w:pPr>
          </w:p>
        </w:tc>
        <w:tc>
          <w:tcPr>
            <w:tcW w:w="1123" w:type="pct"/>
          </w:tcPr>
          <w:p w:rsidR="00A04D93" w:rsidRPr="006048EB" w:rsidRDefault="00A04D93" w:rsidP="00A04D93">
            <w:pPr>
              <w:rPr>
                <w:rFonts w:eastAsia="Calibri"/>
                <w:szCs w:val="24"/>
              </w:rPr>
            </w:pPr>
          </w:p>
        </w:tc>
        <w:tc>
          <w:tcPr>
            <w:tcW w:w="2823" w:type="pct"/>
          </w:tcPr>
          <w:p w:rsidR="00A04D93" w:rsidRPr="006048EB" w:rsidRDefault="00A04D93" w:rsidP="00A04D93">
            <w:pPr>
              <w:rPr>
                <w:rFonts w:eastAsia="Calibri"/>
                <w:szCs w:val="24"/>
              </w:rPr>
            </w:pPr>
          </w:p>
        </w:tc>
      </w:tr>
      <w:tr w:rsidR="00A04D93" w:rsidRPr="006048EB" w:rsidTr="00B169AA">
        <w:trPr>
          <w:trHeight w:val="284"/>
        </w:trPr>
        <w:tc>
          <w:tcPr>
            <w:tcW w:w="195" w:type="pct"/>
          </w:tcPr>
          <w:p w:rsidR="00A04D93" w:rsidRPr="006048EB" w:rsidRDefault="00A04D93" w:rsidP="006048EB">
            <w:pPr>
              <w:rPr>
                <w:rFonts w:eastAsia="Calibri"/>
                <w:szCs w:val="24"/>
              </w:rPr>
            </w:pPr>
          </w:p>
        </w:tc>
        <w:tc>
          <w:tcPr>
            <w:tcW w:w="859" w:type="pct"/>
          </w:tcPr>
          <w:p w:rsidR="00A04D93" w:rsidRPr="006048EB" w:rsidRDefault="00A04D93" w:rsidP="00A04D93">
            <w:pPr>
              <w:rPr>
                <w:rFonts w:eastAsia="Calibri"/>
                <w:szCs w:val="24"/>
              </w:rPr>
            </w:pPr>
          </w:p>
        </w:tc>
        <w:tc>
          <w:tcPr>
            <w:tcW w:w="1123" w:type="pct"/>
          </w:tcPr>
          <w:p w:rsidR="00A04D93" w:rsidRPr="006048EB" w:rsidRDefault="00A04D93" w:rsidP="00A04D93">
            <w:pPr>
              <w:rPr>
                <w:rFonts w:eastAsia="Calibri"/>
                <w:szCs w:val="24"/>
              </w:rPr>
            </w:pPr>
          </w:p>
        </w:tc>
        <w:tc>
          <w:tcPr>
            <w:tcW w:w="2823" w:type="pct"/>
          </w:tcPr>
          <w:p w:rsidR="00A04D93" w:rsidRPr="006048EB" w:rsidRDefault="00A04D93" w:rsidP="00A04D93">
            <w:pPr>
              <w:rPr>
                <w:rFonts w:eastAsia="Calibri"/>
                <w:szCs w:val="24"/>
              </w:rPr>
            </w:pPr>
          </w:p>
        </w:tc>
      </w:tr>
    </w:tbl>
    <w:p w:rsidR="00B15D38" w:rsidRPr="006048EB" w:rsidRDefault="00B15D38">
      <w:pPr>
        <w:rPr>
          <w:szCs w:val="24"/>
        </w:rPr>
      </w:pPr>
    </w:p>
    <w:sectPr w:rsidR="00B15D38" w:rsidRPr="006048EB" w:rsidSect="003D38EC">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EC"/>
    <w:rsid w:val="0005177B"/>
    <w:rsid w:val="00055480"/>
    <w:rsid w:val="0016485A"/>
    <w:rsid w:val="00273497"/>
    <w:rsid w:val="002A5AC7"/>
    <w:rsid w:val="00316B2C"/>
    <w:rsid w:val="00380FC6"/>
    <w:rsid w:val="00382F7D"/>
    <w:rsid w:val="003875C0"/>
    <w:rsid w:val="003D38EC"/>
    <w:rsid w:val="00555085"/>
    <w:rsid w:val="006048EB"/>
    <w:rsid w:val="006745FB"/>
    <w:rsid w:val="00773AC6"/>
    <w:rsid w:val="007A4A6D"/>
    <w:rsid w:val="00820AAB"/>
    <w:rsid w:val="00863D62"/>
    <w:rsid w:val="00914E19"/>
    <w:rsid w:val="009C51A1"/>
    <w:rsid w:val="00A04D93"/>
    <w:rsid w:val="00B15D38"/>
    <w:rsid w:val="00C1363D"/>
    <w:rsid w:val="00C55465"/>
    <w:rsid w:val="00C57613"/>
    <w:rsid w:val="00D42DA2"/>
    <w:rsid w:val="00DC3D8A"/>
    <w:rsid w:val="00E21F9F"/>
    <w:rsid w:val="00E66F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6EB3C-B14F-4EB3-9892-603EBF5D2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8E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04D93"/>
    <w:rPr>
      <w:i/>
      <w:iCs/>
    </w:rPr>
  </w:style>
  <w:style w:type="paragraph" w:styleId="NormalWeb">
    <w:name w:val="Normal (Web)"/>
    <w:basedOn w:val="Normal"/>
    <w:uiPriority w:val="99"/>
    <w:semiHidden/>
    <w:unhideWhenUsed/>
    <w:rsid w:val="00773AC6"/>
    <w:pPr>
      <w:spacing w:before="100" w:beforeAutospacing="1" w:after="100" w:afterAutospacing="1"/>
    </w:pPr>
    <w:rPr>
      <w:rFonts w:ascii="Calibri" w:eastAsiaTheme="minorHAnsi" w:hAnsi="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3105</Words>
  <Characters>1770</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Švambarienė</dc:creator>
  <cp:keywords/>
  <dc:description/>
  <cp:lastModifiedBy>Edita Jegelevičienė</cp:lastModifiedBy>
  <cp:revision>2</cp:revision>
  <dcterms:created xsi:type="dcterms:W3CDTF">2024-02-21T12:20:00Z</dcterms:created>
  <dcterms:modified xsi:type="dcterms:W3CDTF">2024-02-21T12:20:00Z</dcterms:modified>
</cp:coreProperties>
</file>